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FC" w:rsidRDefault="004E00FC" w:rsidP="00BC4366">
      <w:pPr>
        <w:jc w:val="both"/>
        <w:rPr>
          <w:color w:val="000000"/>
          <w:sz w:val="27"/>
          <w:szCs w:val="27"/>
        </w:rPr>
      </w:pPr>
    </w:p>
    <w:p w:rsidR="005A28BB" w:rsidRDefault="005A28BB" w:rsidP="005A28BB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Приложение</w:t>
      </w:r>
      <w:proofErr w:type="gramStart"/>
      <w:r>
        <w:rPr>
          <w:rFonts w:eastAsia="Calibri"/>
          <w:b/>
          <w:sz w:val="28"/>
          <w:szCs w:val="28"/>
          <w:lang w:eastAsia="en-US"/>
        </w:rPr>
        <w:t>1</w:t>
      </w:r>
      <w:proofErr w:type="gramEnd"/>
    </w:p>
    <w:p w:rsidR="005A28BB" w:rsidRPr="005A28BB" w:rsidRDefault="005A28BB" w:rsidP="005A28BB">
      <w:pPr>
        <w:spacing w:after="200" w:line="26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A28BB">
        <w:rPr>
          <w:rFonts w:eastAsia="Calibri"/>
          <w:b/>
          <w:sz w:val="28"/>
          <w:szCs w:val="28"/>
          <w:lang w:eastAsia="en-US"/>
        </w:rPr>
        <w:t>ДОКЛАД</w:t>
      </w:r>
    </w:p>
    <w:p w:rsidR="005A28BB" w:rsidRPr="005A28BB" w:rsidRDefault="005A28BB" w:rsidP="005A28BB">
      <w:pPr>
        <w:spacing w:after="200" w:line="26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A28BB">
        <w:rPr>
          <w:rFonts w:eastAsia="Calibri"/>
          <w:b/>
          <w:sz w:val="28"/>
          <w:szCs w:val="28"/>
          <w:lang w:eastAsia="en-US"/>
        </w:rPr>
        <w:t>обобщения правоприменительной практики по осуществлению муниципального контроля в сфере благоустройства  на территории Орловского сельского поселения Тарского муниципального района Омской области за 202</w:t>
      </w:r>
      <w:r w:rsidR="003E2913">
        <w:rPr>
          <w:rFonts w:eastAsia="Calibri"/>
          <w:b/>
          <w:sz w:val="28"/>
          <w:szCs w:val="28"/>
          <w:lang w:eastAsia="en-US"/>
        </w:rPr>
        <w:t>4</w:t>
      </w:r>
      <w:r w:rsidRPr="005A28BB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Обзор обобщения практики администрации Орловского сельского поселения Тарского муниципального района при осуществлении муниципального контроля за соблюдением правил благоустройства на территории Орловского сельского поселения,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(далее – Обзор практики) разработан в соответствии с пунктом 3 части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Целями обобщения практики осуществления муниципального контроля за соблюдением правил благоустройства на территории Орловского сельского поселения Тарского района являются: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обеспечение доступности сведений о практике осуществления муниципального контроля за соблюдением правил благоустройства на территории Орловского сельского поселения Тарского муниципального района.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Задачами обобщения практики осуществления муниципального контроля за соблюдением правил благоустройства на территории Орловского сельского поселения Тарского муниципального района являются: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lastRenderedPageBreak/>
        <w:t>˗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Омской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укрепление системы профилактики нарушений обязательных требований путём активизации профилактической деятельности;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В ревизионную деятельность муниципального контроля за соблюдением правил благоустройства на территории Орловского сельского поселения Тарского муниципального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Федеральным законом от 13 июля 2015 года № 246 –ФЗ внесены изменения в Федеральный закон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№ 294-ФЗ), введен «мораторий» на проведение плановых проверок юридических лиц, индивидуальных предпринимателей, отнесенным к субъектам малого и среднего предпринимательства. Отнесение к субъектам малого и среднего предпринимательства осуществляется Федеральным законом от 24 июля 2007 № 209-ФЗ «О развитии малого и среднего предпринимательства в РФ».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Законным основанием для незапланированных мероприятий могут стать: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обращения или жалобы граждан и юридических лиц;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информация, полученная от государственных органов;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самостоятельно обнаруженные нарушения закона.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Входящая информация принимается и в письменном, и в электронном виде.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lastRenderedPageBreak/>
        <w:t>В 202</w:t>
      </w:r>
      <w:r w:rsidR="003E2913">
        <w:rPr>
          <w:rFonts w:eastAsia="Calibri"/>
          <w:sz w:val="28"/>
          <w:szCs w:val="28"/>
          <w:lang w:eastAsia="en-US"/>
        </w:rPr>
        <w:t>4</w:t>
      </w:r>
      <w:r w:rsidRPr="005A28BB">
        <w:rPr>
          <w:rFonts w:eastAsia="Calibri"/>
          <w:sz w:val="28"/>
          <w:szCs w:val="28"/>
          <w:lang w:eastAsia="en-US"/>
        </w:rPr>
        <w:t xml:space="preserve"> году в отношении юридических лиц и индивидуальных предпринимателей внеплановые выездные и документарные проверки в соответствии с № 294-ФЗ не проводились в связи с отсутствием оснований.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Протоколы об административных правонарушениях не составлялись.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Эксперты и представители экспертных организаций к проведению мероприятий по муниципальному контролю за соблюдением правил благоустройства на территории Орловского сельского поселения Тарского муниципального района не привлекались.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Положения и Регламенты по осуществлению муниципального контроля на территории Орловского сельского поселения Тарского муниципального района, определяют порядок осуществления на территории сельского поселения муниципального контроля, а также права, обязанности и ответственность должностных лиц, осуществляющих муниципальный контроль.</w:t>
      </w: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sectPr w:rsidR="005A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8533C"/>
    <w:multiLevelType w:val="hybridMultilevel"/>
    <w:tmpl w:val="D096A95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</w:lvl>
  </w:abstractNum>
  <w:abstractNum w:abstractNumId="2">
    <w:nsid w:val="741940FA"/>
    <w:multiLevelType w:val="hybridMultilevel"/>
    <w:tmpl w:val="391C6B2E"/>
    <w:lvl w:ilvl="0" w:tplc="47EED8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F2AF8"/>
    <w:rsid w:val="001B4E9A"/>
    <w:rsid w:val="002E5CF1"/>
    <w:rsid w:val="00321A07"/>
    <w:rsid w:val="00335D07"/>
    <w:rsid w:val="0039439E"/>
    <w:rsid w:val="003B1185"/>
    <w:rsid w:val="003E2913"/>
    <w:rsid w:val="00483DB3"/>
    <w:rsid w:val="004E00FC"/>
    <w:rsid w:val="00535F51"/>
    <w:rsid w:val="005A28BB"/>
    <w:rsid w:val="005B2BFF"/>
    <w:rsid w:val="005C29ED"/>
    <w:rsid w:val="005F400E"/>
    <w:rsid w:val="006335D5"/>
    <w:rsid w:val="00715923"/>
    <w:rsid w:val="008258D0"/>
    <w:rsid w:val="008E602E"/>
    <w:rsid w:val="0090502D"/>
    <w:rsid w:val="00B40CFB"/>
    <w:rsid w:val="00BC4366"/>
    <w:rsid w:val="00C86A58"/>
    <w:rsid w:val="00EF091B"/>
    <w:rsid w:val="00FC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B40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B40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9865-2FE1-455F-846B-521E0E33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2023-01-26T09:46:00Z</dcterms:created>
  <dcterms:modified xsi:type="dcterms:W3CDTF">2025-02-24T06:23:00Z</dcterms:modified>
</cp:coreProperties>
</file>